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F7563A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18</w:t>
      </w:r>
      <w:r w:rsidR="00C424FD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/SI/2018</w:t>
      </w:r>
    </w:p>
    <w:p w:rsidR="00980697" w:rsidRPr="00980697" w:rsidRDefault="00980697" w:rsidP="00980697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I&amp;D EMPRESARIAL</w:t>
      </w:r>
    </w:p>
    <w:p w:rsidR="003D49DE" w:rsidRDefault="00980697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I&amp;D INDUSTRIAL À ESCALA EUROPEIA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37402DD" wp14:editId="049EA278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4CB8253" wp14:editId="1E5394DA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efetuar o upload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Cabealh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D13DD4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20471265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_Toc520471265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4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F24FBB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66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_Toc520471266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4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F24FBB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67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_Toc520471267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4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F24FB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68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1.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Identificação das características inovadoras do produto/processo/serviço objeto do projeto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_Toc520471268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F24FB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0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2.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_Toc520471270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F24FB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2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2.1.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_Toc520471272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F24FB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3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2.2.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_Toc520471273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F24FB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4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3.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_Toc520471274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6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F24FB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5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4.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_Toc520471275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6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52047126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2047126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52047126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BF43C3" w:rsidRDefault="00BF43C3" w:rsidP="00A223A5">
      <w:pPr>
        <w:spacing w:line="360" w:lineRule="auto"/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980697" w:rsidRPr="00CC46D1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líder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EAF1DD" w:themeFill="accent3" w:themeFillTint="33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Pr="00080A38" w:rsidRDefault="00980697" w:rsidP="00980697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980697" w:rsidRPr="00080A38" w:rsidTr="0098069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Público/ Privado</w:t>
            </w:r>
          </w:p>
        </w:tc>
      </w:tr>
      <w:tr w:rsidR="00980697" w:rsidRPr="00080A38" w:rsidTr="0098069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80697" w:rsidRPr="00080A38" w:rsidTr="009806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80697" w:rsidRPr="00080A38" w:rsidTr="0098069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C6428" w:rsidRPr="002C6428" w:rsidRDefault="00980697" w:rsidP="00980697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520471268"/>
      <w:r>
        <w:rPr>
          <w:rFonts w:ascii="Trebuchet MS" w:hAnsi="Trebuchet MS"/>
          <w:color w:val="1F497D" w:themeColor="text2"/>
          <w:sz w:val="24"/>
          <w:szCs w:val="24"/>
        </w:rPr>
        <w:t>I</w:t>
      </w:r>
      <w:r w:rsidRPr="00980697">
        <w:rPr>
          <w:rFonts w:ascii="Trebuchet MS" w:hAnsi="Trebuchet MS"/>
          <w:color w:val="1F497D" w:themeColor="text2"/>
          <w:sz w:val="24"/>
          <w:szCs w:val="24"/>
        </w:rPr>
        <w:t>dentificação das características inovadoras do produto/processo/serviço objeto do projeto</w:t>
      </w:r>
      <w:bookmarkEnd w:id="4"/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8764893"/>
      <w:bookmarkStart w:id="43" w:name="_Toc418765410"/>
      <w:bookmarkStart w:id="44" w:name="_Toc418777337"/>
      <w:bookmarkStart w:id="45" w:name="_Toc437272858"/>
      <w:bookmarkStart w:id="46" w:name="_Toc500154095"/>
      <w:bookmarkStart w:id="47" w:name="_Toc520369677"/>
      <w:bookmarkStart w:id="48" w:name="_Toc520370817"/>
      <w:bookmarkStart w:id="49" w:name="_Toc520469314"/>
      <w:bookmarkStart w:id="50" w:name="_Toc520471214"/>
      <w:bookmarkStart w:id="51" w:name="_Toc52047126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D64A5A" w:rsidRPr="00080A38" w:rsidRDefault="00D64A5A" w:rsidP="00D64A5A">
      <w:pPr>
        <w:ind w:left="36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:rsidR="00D64A5A" w:rsidRPr="00080A38" w:rsidRDefault="00D64A5A" w:rsidP="00D64A5A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680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D64A5A" w:rsidRPr="00080A38" w:rsidTr="00421936">
        <w:trPr>
          <w:trHeight w:val="525"/>
        </w:trPr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D64A5A" w:rsidRPr="00080A38" w:rsidTr="0042193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D64A5A" w:rsidRPr="00080A38" w:rsidTr="0042193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B37F46" w:rsidRDefault="00B37F46" w:rsidP="00980697">
      <w:pPr>
        <w:spacing w:line="360" w:lineRule="auto"/>
        <w:ind w:left="708"/>
        <w:jc w:val="both"/>
        <w:rPr>
          <w:rFonts w:ascii="Trebuchet MS" w:hAnsi="Trebuchet MS"/>
        </w:rPr>
      </w:pPr>
    </w:p>
    <w:p w:rsidR="00007D63" w:rsidRPr="00080A38" w:rsidRDefault="00007D63" w:rsidP="00007D63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2" w:name="_Toc437273027"/>
      <w:bookmarkStart w:id="53" w:name="_Toc520471270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52"/>
      <w:bookmarkEnd w:id="53"/>
    </w:p>
    <w:p w:rsidR="00331033" w:rsidRDefault="0033103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007D63" w:rsidRPr="00007D63" w:rsidRDefault="00007D63" w:rsidP="00007D63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4" w:name="_Toc520471216"/>
      <w:bookmarkStart w:id="55" w:name="_Toc520471271"/>
      <w:bookmarkStart w:id="56" w:name="_Toc437273029"/>
      <w:bookmarkEnd w:id="54"/>
      <w:bookmarkEnd w:id="55"/>
    </w:p>
    <w:p w:rsidR="00007D63" w:rsidRPr="00D13DD4" w:rsidRDefault="00007D63" w:rsidP="00D13DD4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r w:rsidRPr="00D13DD4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  <w:bookmarkStart w:id="57" w:name="_Toc520471272"/>
      <w:bookmarkEnd w:id="56"/>
      <w:r w:rsidRPr="00D13DD4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57"/>
    </w:p>
    <w:p w:rsidR="00D13DD4" w:rsidRDefault="00D13DD4" w:rsidP="00007D63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D64A5A" w:rsidRPr="00D64A5A" w:rsidRDefault="00D64A5A" w:rsidP="00007D63">
      <w:pPr>
        <w:ind w:left="708"/>
        <w:jc w:val="both"/>
        <w:rPr>
          <w:rFonts w:ascii="Trebuchet MS" w:hAnsi="Trebuchet MS"/>
          <w:sz w:val="20"/>
          <w:szCs w:val="20"/>
        </w:rPr>
      </w:pPr>
      <w:r w:rsidRPr="00D64A5A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D64A5A" w:rsidRPr="00D64A5A" w:rsidRDefault="00D64A5A" w:rsidP="00007D63">
      <w:pPr>
        <w:ind w:left="708"/>
        <w:jc w:val="both"/>
        <w:rPr>
          <w:rFonts w:ascii="Trebuchet MS" w:hAnsi="Trebuchet MS"/>
          <w:sz w:val="20"/>
          <w:szCs w:val="20"/>
        </w:rPr>
      </w:pPr>
      <w:r w:rsidRPr="00D64A5A">
        <w:rPr>
          <w:rFonts w:ascii="Trebuchet MS" w:hAnsi="Trebuchet MS"/>
          <w:sz w:val="20"/>
          <w:szCs w:val="20"/>
        </w:rPr>
        <w:t>No caso de recursos humanos críticos para os desenvolvimentos propostos (pela pertinência da sua experiência) e possuidores de competências determinantes para o sucesso do projeto, apresentar os curricula dos recursos, incluindo os técnicos pertencentes a entidades externas de assistência técnica, científica e consultoria.</w:t>
      </w:r>
    </w:p>
    <w:p w:rsidR="00D64A5A" w:rsidRDefault="00D64A5A" w:rsidP="00007D63">
      <w:pPr>
        <w:ind w:left="708"/>
        <w:jc w:val="both"/>
        <w:rPr>
          <w:rFonts w:ascii="Trebuchet MS" w:hAnsi="Trebuchet MS"/>
          <w:sz w:val="20"/>
          <w:szCs w:val="20"/>
        </w:rPr>
      </w:pPr>
      <w:r w:rsidRPr="00D64A5A">
        <w:rPr>
          <w:rFonts w:ascii="Trebuchet MS" w:hAnsi="Trebuchet MS"/>
          <w:sz w:val="20"/>
          <w:szCs w:val="20"/>
        </w:rPr>
        <w:t>Demonstrar a complementaridade entre os diferentes participantes e, se for caso disso, fundamentar as subcontratações.</w:t>
      </w:r>
    </w:p>
    <w:p w:rsidR="00007D63" w:rsidRPr="00D64A5A" w:rsidRDefault="00007D63" w:rsidP="00007D63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007D63" w:rsidRPr="00080A38" w:rsidRDefault="00007D63" w:rsidP="00007D63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8" w:name="_Toc437273042"/>
      <w:bookmarkStart w:id="59" w:name="_Toc520471273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58"/>
      <w:bookmarkEnd w:id="59"/>
    </w:p>
    <w:p w:rsidR="00007D63" w:rsidRDefault="00007D63" w:rsidP="00007D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007D63" w:rsidRPr="00080A38" w:rsidRDefault="00007D63" w:rsidP="00007D63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Apresentar um quadro resumo dos investimentos do projeto dividido por rúbrica de despesa e por promotor do consórcio. As rúbricas de despesa deverão ser justificadas.</w:t>
      </w: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2698"/>
        <w:gridCol w:w="2756"/>
        <w:gridCol w:w="2449"/>
      </w:tblGrid>
      <w:tr w:rsidR="00FC125F" w:rsidRPr="00100D48" w:rsidTr="00FC125F">
        <w:tc>
          <w:tcPr>
            <w:tcW w:w="2698" w:type="dxa"/>
            <w:shd w:val="clear" w:color="auto" w:fill="F2F2F2" w:themeFill="background1" w:themeFillShade="F2"/>
          </w:tcPr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Classificação da Despesa</w:t>
            </w:r>
          </w:p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(natureza/grupo/rúbrica)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Descrição/Justificação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Valor</w:t>
            </w:r>
          </w:p>
        </w:tc>
      </w:tr>
      <w:tr w:rsidR="00FC125F" w:rsidTr="00FC125F">
        <w:tc>
          <w:tcPr>
            <w:tcW w:w="2698" w:type="dxa"/>
          </w:tcPr>
          <w:p w:rsidR="00FC125F" w:rsidRDefault="00FC125F" w:rsidP="0042193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56" w:type="dxa"/>
          </w:tcPr>
          <w:p w:rsidR="00FC125F" w:rsidRDefault="00FC125F" w:rsidP="0042193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</w:tcPr>
          <w:p w:rsidR="00FC125F" w:rsidRDefault="00FC125F" w:rsidP="00421936">
            <w:pPr>
              <w:jc w:val="both"/>
              <w:rPr>
                <w:rFonts w:ascii="Trebuchet MS" w:hAnsi="Trebuchet MS"/>
              </w:rPr>
            </w:pPr>
          </w:p>
        </w:tc>
      </w:tr>
    </w:tbl>
    <w:p w:rsidR="001777F3" w:rsidRDefault="001777F3" w:rsidP="00D64A5A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AF3463" w:rsidRPr="00C22C4A" w:rsidRDefault="00AF3463" w:rsidP="00C22C4A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60" w:name="_Toc520471274"/>
      <w:r w:rsidRPr="00C22C4A">
        <w:rPr>
          <w:rFonts w:ascii="Trebuchet MS" w:hAnsi="Trebuchet MS"/>
          <w:color w:val="1F497D" w:themeColor="text2"/>
          <w:sz w:val="24"/>
          <w:szCs w:val="24"/>
        </w:rPr>
        <w:t xml:space="preserve">Plano de divulgação </w:t>
      </w:r>
      <w:r w:rsidR="00CC6E7B" w:rsidRPr="00C22C4A">
        <w:rPr>
          <w:rFonts w:ascii="Trebuchet MS" w:hAnsi="Trebuchet MS"/>
          <w:color w:val="1F497D" w:themeColor="text2"/>
          <w:sz w:val="24"/>
          <w:szCs w:val="24"/>
        </w:rPr>
        <w:t>alargada de</w:t>
      </w:r>
      <w:r w:rsidRPr="00C22C4A">
        <w:rPr>
          <w:rFonts w:ascii="Trebuchet MS" w:hAnsi="Trebuchet MS"/>
          <w:color w:val="1F497D" w:themeColor="text2"/>
          <w:sz w:val="24"/>
          <w:szCs w:val="24"/>
        </w:rPr>
        <w:t xml:space="preserve"> resultados</w:t>
      </w:r>
      <w:bookmarkEnd w:id="60"/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O plano de divulgação ampla deve descrever e justificar a adequação das formas propostas para divulgar os resultados junto de potenciais tomadores e/ou utilizadores da tecnologia (por exemplo, contemplar a organização de visitas periódicas ao local de instalação do projeto), bem como das ações de difusão das inovações associadas, especialmente as iniciativas a ocorrer durante o projeto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de divulgação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Teses de mestrado e doutoramento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junto dos sectores alvo</w:t>
      </w:r>
      <w:r w:rsidR="00C22C4A">
        <w:rPr>
          <w:rFonts w:ascii="Trebuchet MS" w:hAnsi="Trebuchet MS"/>
          <w:sz w:val="20"/>
          <w:szCs w:val="20"/>
        </w:rPr>
        <w:t>.</w:t>
      </w:r>
    </w:p>
    <w:p w:rsidR="00650EEE" w:rsidRDefault="00650EEE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5D3278" w:rsidRPr="00080A38" w:rsidRDefault="00337F7F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61" w:name="_Toc520471275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61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03111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 w:rsidRPr="00E03111">
        <w:rPr>
          <w:rFonts w:ascii="Trebuchet MS" w:hAnsi="Trebuchet MS"/>
          <w:sz w:val="20"/>
          <w:szCs w:val="20"/>
        </w:rPr>
        <w:t xml:space="preserve">os para além dos </w:t>
      </w:r>
      <w:r w:rsidR="00881260" w:rsidRPr="00E03111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</w:t>
      </w:r>
      <w:r w:rsidR="00D47C96">
        <w:rPr>
          <w:rFonts w:ascii="Trebuchet MS" w:hAnsi="Trebuchet MS"/>
          <w:sz w:val="20"/>
          <w:szCs w:val="20"/>
        </w:rPr>
        <w:t>projecto.</w:t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3F6D54" w:rsidRDefault="005D3278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>A – Qualidade do projeto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5D3278" w:rsidRDefault="003F6D54" w:rsidP="008A0AE6">
      <w:pPr>
        <w:spacing w:line="360" w:lineRule="auto"/>
        <w:ind w:left="708"/>
        <w:jc w:val="both"/>
        <w:rPr>
          <w:rFonts w:ascii="Trebuchet MS" w:hAnsi="Trebuchet MS"/>
        </w:rPr>
      </w:pPr>
      <w:r w:rsidRPr="00216853">
        <w:rPr>
          <w:rFonts w:ascii="Trebuchet MS" w:hAnsi="Trebuchet MS"/>
        </w:rPr>
        <w:lastRenderedPageBreak/>
        <w:t>Os projetos submetidos no âmbito das Iniciativas Europeias com processos de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</w:t>
      </w:r>
      <w:r>
        <w:rPr>
          <w:rFonts w:ascii="Trebuchet MS" w:hAnsi="Trebuchet MS"/>
        </w:rPr>
        <w:t>liação autónomos (EUROSTARS</w:t>
      </w:r>
      <w:r w:rsidRPr="00216853">
        <w:rPr>
          <w:rFonts w:ascii="Trebuchet MS" w:hAnsi="Trebuchet MS"/>
        </w:rPr>
        <w:t>) são alvo de uma correspondência direta entre as pontuações da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avaliação europeia e a do critério A, conforme metodologia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descrita no Anexo H</w:t>
      </w:r>
      <w:r>
        <w:rPr>
          <w:rFonts w:ascii="Trebuchet MS" w:hAnsi="Trebuchet MS"/>
        </w:rPr>
        <w:t xml:space="preserve"> do Aviso.</w:t>
      </w:r>
    </w:p>
    <w:p w:rsidR="00D13DD4" w:rsidRPr="00981168" w:rsidRDefault="00D13DD4" w:rsidP="008A0AE6">
      <w:pPr>
        <w:spacing w:line="360" w:lineRule="auto"/>
        <w:ind w:left="708"/>
        <w:jc w:val="both"/>
        <w:rPr>
          <w:rFonts w:ascii="Trebuchet MS" w:hAnsi="Trebuchet MS"/>
          <w:b/>
        </w:rPr>
      </w:pPr>
    </w:p>
    <w:p w:rsidR="00F461B5" w:rsidRDefault="00F461B5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</w:p>
    <w:p w:rsidR="005D3278" w:rsidRPr="003F6D54" w:rsidRDefault="005D3278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>B – Impacto do projeto</w:t>
      </w:r>
      <w:r w:rsidR="00C200BC" w:rsidRPr="003F6D54">
        <w:rPr>
          <w:rFonts w:ascii="Trebuchet MS" w:hAnsi="Trebuchet MS"/>
          <w:b/>
          <w:color w:val="1F497D" w:themeColor="text2"/>
        </w:rPr>
        <w:t xml:space="preserve"> na competitividade da empresa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A223A5" w:rsidRDefault="003F6D54" w:rsidP="008A0AE6">
      <w:pPr>
        <w:spacing w:line="360" w:lineRule="auto"/>
        <w:ind w:left="709" w:hanging="1"/>
        <w:jc w:val="both"/>
        <w:rPr>
          <w:rFonts w:ascii="Trebuchet MS" w:hAnsi="Trebuchet MS"/>
          <w:b/>
        </w:rPr>
      </w:pPr>
      <w:r w:rsidRPr="00216853">
        <w:rPr>
          <w:rFonts w:ascii="Trebuchet MS" w:hAnsi="Trebuchet MS"/>
        </w:rPr>
        <w:t>Os projetos submetidos no âmbito das Iniciativas Europeias com processos de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</w:t>
      </w:r>
      <w:r>
        <w:rPr>
          <w:rFonts w:ascii="Trebuchet MS" w:hAnsi="Trebuchet MS"/>
        </w:rPr>
        <w:t>liação autónomos (EUROSTARS</w:t>
      </w:r>
      <w:r w:rsidRPr="00216853">
        <w:rPr>
          <w:rFonts w:ascii="Trebuchet MS" w:hAnsi="Trebuchet MS"/>
        </w:rPr>
        <w:t>) são alvo de uma correspondência direta entre as pontuações da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avaliação europeia e a do critério A, conforme metodologia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descrita no Anexo H</w:t>
      </w:r>
      <w:r>
        <w:rPr>
          <w:rFonts w:ascii="Trebuchet MS" w:hAnsi="Trebuchet MS"/>
        </w:rPr>
        <w:t xml:space="preserve"> do Aviso.</w:t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</w:p>
    <w:p w:rsidR="00C74C1D" w:rsidRPr="00245C8F" w:rsidRDefault="00C74C1D" w:rsidP="008A0AE6">
      <w:pPr>
        <w:spacing w:line="360" w:lineRule="auto"/>
        <w:ind w:left="1417" w:hanging="1"/>
        <w:jc w:val="both"/>
        <w:rPr>
          <w:rFonts w:ascii="Trebuchet MS" w:hAnsi="Trebuchet MS"/>
          <w:b/>
          <w:sz w:val="20"/>
          <w:szCs w:val="20"/>
        </w:rPr>
      </w:pPr>
    </w:p>
    <w:p w:rsidR="005D3278" w:rsidRPr="003F6D54" w:rsidRDefault="005D3278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 xml:space="preserve">C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economia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>C1. Contributo do projeto para os resultados do PO e para os restantes domínios temáticos do Portugal 2020</w:t>
      </w:r>
    </w:p>
    <w:p w:rsidR="00144AD3" w:rsidRPr="00F60898" w:rsidRDefault="00144AD3" w:rsidP="008A0AE6">
      <w:pPr>
        <w:ind w:left="1416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>
        <w:rPr>
          <w:rFonts w:ascii="Trebuchet MS" w:hAnsi="Trebuchet MS"/>
          <w:sz w:val="20"/>
          <w:szCs w:val="20"/>
        </w:rPr>
        <w:t>.</w:t>
      </w:r>
    </w:p>
    <w:p w:rsidR="00144AD3" w:rsidRDefault="00144AD3" w:rsidP="008A0AE6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 xml:space="preserve">C2. Impacto estrutural do projeto </w:t>
      </w:r>
    </w:p>
    <w:p w:rsidR="00144AD3" w:rsidRPr="00F60898" w:rsidRDefault="00144AD3" w:rsidP="008A0AE6">
      <w:pPr>
        <w:ind w:left="1416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144AD3" w:rsidRPr="00F60898" w:rsidRDefault="00144AD3" w:rsidP="008A0AE6">
      <w:pPr>
        <w:ind w:left="1416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prevê a utilização de tecnologia sofisticada e processos capital-intensivos? Quais?</w:t>
      </w:r>
    </w:p>
    <w:p w:rsidR="00144AD3" w:rsidRPr="00F60898" w:rsidRDefault="00144AD3" w:rsidP="008A0AE6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>C3. Efeito de demonstração, disseminação e valorização dos resultados</w:t>
      </w:r>
      <w:r w:rsidRPr="00144AD3">
        <w:rPr>
          <w:rFonts w:ascii="Trebuchet MS" w:hAnsi="Trebuchet MS"/>
          <w:b/>
          <w:color w:val="1F497D" w:themeColor="text2"/>
        </w:rPr>
        <w:tab/>
      </w:r>
    </w:p>
    <w:p w:rsidR="00144AD3" w:rsidRPr="00F60898" w:rsidRDefault="00144AD3" w:rsidP="008A0AE6">
      <w:pPr>
        <w:ind w:left="708"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144AD3" w:rsidRPr="00F60898" w:rsidRDefault="00144AD3" w:rsidP="008A0AE6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>C4. Externalidades positivas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9E4FD9" w:rsidRDefault="009E4FD9" w:rsidP="008A0AE6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8A0AE6">
      <w:pPr>
        <w:ind w:left="708"/>
        <w:jc w:val="both"/>
        <w:rPr>
          <w:rFonts w:ascii="Trebuchet MS" w:hAnsi="Trebuchet MS"/>
          <w:b/>
        </w:rPr>
      </w:pPr>
      <w:r w:rsidRPr="003F6D54">
        <w:rPr>
          <w:rFonts w:ascii="Trebuchet MS" w:hAnsi="Trebuchet MS"/>
          <w:b/>
          <w:color w:val="1F497D" w:themeColor="text2"/>
        </w:rPr>
        <w:t xml:space="preserve">D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convergência regional</w:t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8A0AE6">
      <w:pPr>
        <w:spacing w:after="0"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981168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5D3278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BB" w:rsidRDefault="00F24FBB" w:rsidP="00F46B80">
      <w:pPr>
        <w:spacing w:after="0" w:line="240" w:lineRule="auto"/>
      </w:pPr>
      <w:r>
        <w:separator/>
      </w:r>
    </w:p>
  </w:endnote>
  <w:endnote w:type="continuationSeparator" w:id="0">
    <w:p w:rsidR="00F24FBB" w:rsidRDefault="00F24FBB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980697" w:rsidRDefault="00980697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2"/>
              <w:gridCol w:w="1432"/>
            </w:tblGrid>
            <w:tr w:rsidR="00980697" w:rsidRPr="00561740" w:rsidTr="004A3C1F">
              <w:tc>
                <w:tcPr>
                  <w:tcW w:w="6946" w:type="dxa"/>
                </w:tcPr>
                <w:p w:rsidR="00980697" w:rsidRPr="00561740" w:rsidRDefault="00980697" w:rsidP="00980697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>
                    <w:rPr>
                      <w:sz w:val="18"/>
                      <w:szCs w:val="18"/>
                    </w:rPr>
                    <w:t xml:space="preserve"> / Anexo Técnico – Aviso 18/SI/2018</w:t>
                  </w:r>
                </w:p>
              </w:tc>
              <w:tc>
                <w:tcPr>
                  <w:tcW w:w="1448" w:type="dxa"/>
                </w:tcPr>
                <w:p w:rsidR="00980697" w:rsidRPr="00561740" w:rsidRDefault="00980697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258A6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258A6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80697" w:rsidRPr="00D35517" w:rsidRDefault="00F24FBB" w:rsidP="00D35517">
            <w:pPr>
              <w:pStyle w:val="Rodap"/>
              <w:jc w:val="right"/>
            </w:pPr>
          </w:p>
        </w:sdtContent>
      </w:sdt>
    </w:sdtContent>
  </w:sdt>
  <w:p w:rsidR="00980697" w:rsidRDefault="009806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BB" w:rsidRDefault="00F24FBB" w:rsidP="00F46B80">
      <w:pPr>
        <w:spacing w:after="0" w:line="240" w:lineRule="auto"/>
      </w:pPr>
      <w:r>
        <w:separator/>
      </w:r>
    </w:p>
  </w:footnote>
  <w:footnote w:type="continuationSeparator" w:id="0">
    <w:p w:rsidR="00F24FBB" w:rsidRDefault="00F24FBB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97" w:rsidRDefault="00980697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5B2D39D" wp14:editId="286CFC3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0"/>
    <w:rsid w:val="00001D9A"/>
    <w:rsid w:val="000038E8"/>
    <w:rsid w:val="000062A2"/>
    <w:rsid w:val="00007D63"/>
    <w:rsid w:val="0001753B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44AD3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36AD2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1E32"/>
    <w:rsid w:val="00837BE0"/>
    <w:rsid w:val="0086285D"/>
    <w:rsid w:val="0086482B"/>
    <w:rsid w:val="00864D0F"/>
    <w:rsid w:val="00881260"/>
    <w:rsid w:val="00891F74"/>
    <w:rsid w:val="008A0AE6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0697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12892"/>
    <w:rsid w:val="00B208E2"/>
    <w:rsid w:val="00B37F46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3DD4"/>
    <w:rsid w:val="00D156B8"/>
    <w:rsid w:val="00D15949"/>
    <w:rsid w:val="00D20AFA"/>
    <w:rsid w:val="00D27DAA"/>
    <w:rsid w:val="00D35517"/>
    <w:rsid w:val="00D47C96"/>
    <w:rsid w:val="00D50AE8"/>
    <w:rsid w:val="00D6402C"/>
    <w:rsid w:val="00D64A5A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8A6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106DF"/>
    <w:rsid w:val="00F24FBB"/>
    <w:rsid w:val="00F353F7"/>
    <w:rsid w:val="00F37AF8"/>
    <w:rsid w:val="00F461B5"/>
    <w:rsid w:val="00F46B80"/>
    <w:rsid w:val="00F47EC6"/>
    <w:rsid w:val="00F51483"/>
    <w:rsid w:val="00F57924"/>
    <w:rsid w:val="00F60898"/>
    <w:rsid w:val="00F7563A"/>
    <w:rsid w:val="00F75EEF"/>
    <w:rsid w:val="00F928CC"/>
    <w:rsid w:val="00FA495D"/>
    <w:rsid w:val="00FC125F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96569-0EB5-4FC4-B0BC-F355FC0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Cabealho1Carter">
    <w:name w:val="Cabeçalho 1 Cará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9F95-7E0A-4BA8-9D2C-E4D1777A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Nélia Ramos</cp:lastModifiedBy>
  <cp:revision>2</cp:revision>
  <cp:lastPrinted>2015-04-21T16:30:00Z</cp:lastPrinted>
  <dcterms:created xsi:type="dcterms:W3CDTF">2018-08-01T13:33:00Z</dcterms:created>
  <dcterms:modified xsi:type="dcterms:W3CDTF">2018-08-01T13:33:00Z</dcterms:modified>
</cp:coreProperties>
</file>